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8DD" w:rsidRDefault="00C218DD">
      <w:bookmarkStart w:id="0" w:name="_GoBack"/>
      <w:bookmarkEnd w:id="0"/>
    </w:p>
    <w:tbl>
      <w:tblPr>
        <w:tblW w:w="10024" w:type="dxa"/>
        <w:tblInd w:w="-248" w:type="dxa"/>
        <w:tblLayout w:type="fixed"/>
        <w:tblLook w:val="0000" w:firstRow="0" w:lastRow="0" w:firstColumn="0" w:lastColumn="0" w:noHBand="0" w:noVBand="0"/>
      </w:tblPr>
      <w:tblGrid>
        <w:gridCol w:w="634"/>
        <w:gridCol w:w="5279"/>
        <w:gridCol w:w="4111"/>
      </w:tblGrid>
      <w:tr w:rsidR="00C218DD">
        <w:trPr>
          <w:trHeight w:val="1050"/>
        </w:trPr>
        <w:tc>
          <w:tcPr>
            <w:tcW w:w="10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DD" w:rsidRDefault="00882565">
            <w:pPr>
              <w:snapToGrid w:val="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Opis typu:</w:t>
            </w:r>
            <w:r>
              <w:rPr>
                <w:rFonts w:cs="Arial"/>
                <w:sz w:val="22"/>
              </w:rPr>
              <w:t xml:space="preserve">   Komputer stacjonarny do laboratorium metod sztucznej inteligencji</w:t>
            </w:r>
            <w:r w:rsidR="008B27BF">
              <w:rPr>
                <w:rFonts w:cs="Arial"/>
                <w:sz w:val="22"/>
              </w:rPr>
              <w:t xml:space="preserve"> – 17 szt.</w:t>
            </w:r>
          </w:p>
          <w:p w:rsidR="00C218DD" w:rsidRDefault="00882565">
            <w:pPr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Wymagania na elementy składowe komputera:</w:t>
            </w:r>
          </w:p>
        </w:tc>
      </w:tr>
      <w:tr w:rsidR="00C218DD">
        <w:tc>
          <w:tcPr>
            <w:tcW w:w="634" w:type="dxa"/>
            <w:tcBorders>
              <w:left w:val="single" w:sz="4" w:space="0" w:color="000000"/>
              <w:bottom w:val="single" w:sz="4" w:space="0" w:color="000000"/>
            </w:tcBorders>
          </w:tcPr>
          <w:p w:rsidR="00C218DD" w:rsidRDefault="00C218DD">
            <w:pPr>
              <w:tabs>
                <w:tab w:val="left" w:pos="5220"/>
                <w:tab w:val="left" w:pos="6120"/>
                <w:tab w:val="left" w:pos="7740"/>
              </w:tabs>
              <w:snapToGrid w:val="0"/>
              <w:rPr>
                <w:rFonts w:cs="Arial"/>
                <w:b/>
                <w:sz w:val="22"/>
              </w:rPr>
            </w:pPr>
          </w:p>
          <w:p w:rsidR="00C218DD" w:rsidRDefault="00882565">
            <w:pPr>
              <w:tabs>
                <w:tab w:val="left" w:pos="5220"/>
                <w:tab w:val="left" w:pos="6120"/>
                <w:tab w:val="left" w:pos="7740"/>
              </w:tabs>
              <w:snapToGrid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</w:tcPr>
          <w:p w:rsidR="00C218DD" w:rsidRDefault="00C218DD">
            <w:pPr>
              <w:tabs>
                <w:tab w:val="left" w:pos="5220"/>
                <w:tab w:val="left" w:pos="6120"/>
                <w:tab w:val="left" w:pos="7740"/>
              </w:tabs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</w:p>
          <w:p w:rsidR="00C218DD" w:rsidRDefault="00882565">
            <w:pPr>
              <w:tabs>
                <w:tab w:val="left" w:pos="5220"/>
                <w:tab w:val="left" w:pos="6120"/>
                <w:tab w:val="left" w:pos="7740"/>
              </w:tabs>
              <w:snapToGrid w:val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bCs/>
                <w:szCs w:val="20"/>
              </w:rPr>
              <w:t>Nazwa elementu/parametry techniczne (minimum)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DD" w:rsidRDefault="00882565">
            <w:pPr>
              <w:tabs>
                <w:tab w:val="left" w:pos="5220"/>
                <w:tab w:val="left" w:pos="6120"/>
                <w:tab w:val="left" w:pos="7740"/>
              </w:tabs>
              <w:snapToGrid w:val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bCs/>
                <w:szCs w:val="20"/>
              </w:rPr>
              <w:t>Proponowane parametry techniczne potwierdzające spełnienie wymagań Zamawiającego</w:t>
            </w:r>
          </w:p>
        </w:tc>
      </w:tr>
      <w:tr w:rsidR="00C218DD">
        <w:tc>
          <w:tcPr>
            <w:tcW w:w="634" w:type="dxa"/>
            <w:tcBorders>
              <w:left w:val="single" w:sz="4" w:space="0" w:color="000000"/>
              <w:bottom w:val="single" w:sz="4" w:space="0" w:color="000000"/>
            </w:tcBorders>
          </w:tcPr>
          <w:p w:rsidR="00C218DD" w:rsidRDefault="00882565">
            <w:pPr>
              <w:tabs>
                <w:tab w:val="left" w:pos="5220"/>
                <w:tab w:val="left" w:pos="6120"/>
                <w:tab w:val="left" w:pos="7740"/>
              </w:tabs>
              <w:snapToGrid w:val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</w:tcPr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Typ komputera</w:t>
            </w:r>
          </w:p>
          <w:p w:rsidR="00C218DD" w:rsidRDefault="00882565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cstheme="minorHAnsi"/>
                <w:sz w:val="22"/>
              </w:rPr>
              <w:t xml:space="preserve">Komputer stacjonarny typu </w:t>
            </w:r>
            <w:proofErr w:type="spellStart"/>
            <w:r>
              <w:rPr>
                <w:rFonts w:cstheme="minorHAnsi"/>
                <w:sz w:val="22"/>
              </w:rPr>
              <w:t>tower</w:t>
            </w:r>
            <w:proofErr w:type="spellEnd"/>
            <w:r>
              <w:rPr>
                <w:rFonts w:cstheme="minorHAnsi"/>
                <w:sz w:val="22"/>
              </w:rPr>
              <w:t xml:space="preserve"> przeznaczony do intensywnych obliczeń naukowych i dydaktycznych.</w:t>
            </w:r>
          </w:p>
          <w:p w:rsidR="00C218DD" w:rsidRDefault="00C218DD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Przeznaczenie</w:t>
            </w:r>
          </w:p>
          <w:p w:rsidR="00C218DD" w:rsidRDefault="00882565">
            <w:pPr>
              <w:pStyle w:val="Akapitzlist"/>
              <w:spacing w:after="0" w:line="240" w:lineRule="auto"/>
              <w:ind w:left="709"/>
              <w:rPr>
                <w:rFonts w:asciiTheme="minorHAnsi" w:hAnsiTheme="minorHAnsi" w:cstheme="minorHAnsi"/>
                <w:sz w:val="22"/>
              </w:rPr>
            </w:pPr>
            <w:r>
              <w:rPr>
                <w:rFonts w:cstheme="minorHAnsi"/>
                <w:sz w:val="22"/>
              </w:rPr>
              <w:t>Przedmiotem zamówienia są komputery stacjonarne przeznaczone do prowadzenia zajęć laboratoryjnych z zakresu: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r>
              <w:rPr>
                <w:rFonts w:cstheme="minorHAnsi"/>
                <w:sz w:val="22"/>
              </w:rPr>
              <w:t>metod sztucznej inteligencji,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r>
              <w:rPr>
                <w:rFonts w:cstheme="minorHAnsi"/>
                <w:sz w:val="22"/>
              </w:rPr>
              <w:t>uczenia maszynowego i głębokiego,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r>
              <w:rPr>
                <w:rFonts w:cstheme="minorHAnsi"/>
                <w:sz w:val="22"/>
              </w:rPr>
              <w:t>analizy danych,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r>
              <w:rPr>
                <w:rFonts w:cstheme="minorHAnsi"/>
                <w:sz w:val="22"/>
              </w:rPr>
              <w:t xml:space="preserve">programowania w języku </w:t>
            </w:r>
            <w:proofErr w:type="spellStart"/>
            <w:r>
              <w:rPr>
                <w:rFonts w:cstheme="minorHAnsi"/>
                <w:sz w:val="22"/>
              </w:rPr>
              <w:t>Python</w:t>
            </w:r>
            <w:proofErr w:type="spellEnd"/>
            <w:r>
              <w:rPr>
                <w:rFonts w:cstheme="minorHAnsi"/>
                <w:sz w:val="22"/>
              </w:rPr>
              <w:t>, C/C++, Java,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cstheme="minorHAnsi"/>
                <w:sz w:val="22"/>
              </w:rPr>
              <w:t>obliczeń równoległych z wykorzystaniem technologii CUDA.</w:t>
            </w:r>
          </w:p>
          <w:p w:rsidR="00C218DD" w:rsidRDefault="00882565">
            <w:pPr>
              <w:pStyle w:val="Akapitzlist"/>
              <w:spacing w:after="0" w:line="240" w:lineRule="auto"/>
              <w:ind w:left="709"/>
              <w:rPr>
                <w:rFonts w:asciiTheme="minorHAnsi" w:hAnsiTheme="minorHAnsi" w:cstheme="minorHAnsi"/>
                <w:sz w:val="22"/>
              </w:rPr>
            </w:pPr>
            <w:r>
              <w:rPr>
                <w:rFonts w:cstheme="minorHAnsi"/>
                <w:sz w:val="22"/>
              </w:rPr>
              <w:t>Stanowiska muszą umożliwiać pracę z oprogramowaniem takim jak: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proofErr w:type="spellStart"/>
            <w:r>
              <w:rPr>
                <w:rFonts w:cstheme="minorHAnsi"/>
                <w:sz w:val="22"/>
              </w:rPr>
              <w:t>Python</w:t>
            </w:r>
            <w:proofErr w:type="spellEnd"/>
            <w:r>
              <w:rPr>
                <w:rFonts w:cstheme="minorHAnsi"/>
                <w:sz w:val="22"/>
              </w:rPr>
              <w:t>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proofErr w:type="spellStart"/>
            <w:r>
              <w:rPr>
                <w:rFonts w:cstheme="minorHAnsi"/>
                <w:sz w:val="22"/>
              </w:rPr>
              <w:t>Jupyter</w:t>
            </w:r>
            <w:proofErr w:type="spellEnd"/>
            <w:r>
              <w:rPr>
                <w:rFonts w:cstheme="minorHAnsi"/>
                <w:sz w:val="22"/>
              </w:rPr>
              <w:t xml:space="preserve"> Notebook,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r>
              <w:rPr>
                <w:rFonts w:cstheme="minorHAnsi"/>
                <w:sz w:val="22"/>
              </w:rPr>
              <w:t xml:space="preserve">Visual Studio </w:t>
            </w:r>
            <w:proofErr w:type="spellStart"/>
            <w:r>
              <w:rPr>
                <w:rFonts w:cstheme="minorHAnsi"/>
                <w:sz w:val="22"/>
              </w:rPr>
              <w:t>Code</w:t>
            </w:r>
            <w:proofErr w:type="spellEnd"/>
            <w:r>
              <w:rPr>
                <w:rFonts w:cstheme="minorHAnsi"/>
                <w:sz w:val="22"/>
              </w:rPr>
              <w:t>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proofErr w:type="spellStart"/>
            <w:r>
              <w:rPr>
                <w:rFonts w:cstheme="minorHAnsi"/>
                <w:sz w:val="22"/>
              </w:rPr>
              <w:t>PyCharm</w:t>
            </w:r>
            <w:proofErr w:type="spellEnd"/>
            <w:r>
              <w:rPr>
                <w:rFonts w:cstheme="minorHAnsi"/>
                <w:sz w:val="22"/>
              </w:rPr>
              <w:t>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proofErr w:type="spellStart"/>
            <w:r>
              <w:rPr>
                <w:rFonts w:cstheme="minorHAnsi"/>
                <w:sz w:val="22"/>
              </w:rPr>
              <w:t>TensorFlow</w:t>
            </w:r>
            <w:proofErr w:type="spellEnd"/>
            <w:r>
              <w:rPr>
                <w:rFonts w:cstheme="minorHAnsi"/>
                <w:sz w:val="22"/>
              </w:rPr>
              <w:t>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proofErr w:type="spellStart"/>
            <w:r>
              <w:rPr>
                <w:rFonts w:cstheme="minorHAnsi"/>
                <w:sz w:val="22"/>
              </w:rPr>
              <w:t>PyTorch</w:t>
            </w:r>
            <w:proofErr w:type="spellEnd"/>
            <w:r>
              <w:rPr>
                <w:rFonts w:cstheme="minorHAnsi"/>
                <w:sz w:val="22"/>
              </w:rPr>
              <w:t>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proofErr w:type="spellStart"/>
            <w:r>
              <w:rPr>
                <w:rFonts w:cstheme="minorHAnsi"/>
                <w:sz w:val="22"/>
              </w:rPr>
              <w:t>scikit-learn</w:t>
            </w:r>
            <w:proofErr w:type="spellEnd"/>
            <w:r>
              <w:rPr>
                <w:rFonts w:cstheme="minorHAnsi"/>
                <w:sz w:val="22"/>
              </w:rPr>
              <w:t>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proofErr w:type="spellStart"/>
            <w:r>
              <w:rPr>
                <w:rFonts w:cstheme="minorHAnsi"/>
                <w:sz w:val="22"/>
              </w:rPr>
              <w:t>NumPy</w:t>
            </w:r>
            <w:proofErr w:type="spellEnd"/>
            <w:r>
              <w:rPr>
                <w:rFonts w:cstheme="minorHAnsi"/>
                <w:sz w:val="22"/>
              </w:rPr>
              <w:t>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proofErr w:type="spellStart"/>
            <w:r>
              <w:rPr>
                <w:rFonts w:cstheme="minorHAnsi"/>
                <w:sz w:val="22"/>
              </w:rPr>
              <w:t>Pandas</w:t>
            </w:r>
            <w:proofErr w:type="spellEnd"/>
            <w:r>
              <w:rPr>
                <w:rFonts w:cstheme="minorHAnsi"/>
                <w:sz w:val="22"/>
              </w:rPr>
              <w:t>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r>
              <w:rPr>
                <w:rFonts w:cstheme="minorHAnsi"/>
                <w:sz w:val="22"/>
              </w:rPr>
              <w:t>CUDA Toolkit,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proofErr w:type="spellStart"/>
            <w:r>
              <w:rPr>
                <w:rFonts w:cstheme="minorHAnsi"/>
                <w:sz w:val="22"/>
              </w:rPr>
              <w:t>cuDNN</w:t>
            </w:r>
            <w:proofErr w:type="spellEnd"/>
            <w:r>
              <w:rPr>
                <w:rFonts w:cstheme="minorHAnsi"/>
                <w:sz w:val="22"/>
              </w:rPr>
              <w:t>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</w:pPr>
            <w:proofErr w:type="spellStart"/>
            <w:r>
              <w:rPr>
                <w:rFonts w:cstheme="minorHAnsi"/>
                <w:sz w:val="22"/>
              </w:rPr>
              <w:t>TensorRT</w:t>
            </w:r>
            <w:proofErr w:type="spellEnd"/>
            <w:r>
              <w:rPr>
                <w:rFonts w:cstheme="minorHAnsi"/>
                <w:sz w:val="22"/>
              </w:rPr>
              <w:t>,</w:t>
            </w:r>
          </w:p>
          <w:p w:rsidR="00C218DD" w:rsidRDefault="00882565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cstheme="minorHAnsi"/>
                <w:sz w:val="22"/>
              </w:rPr>
              <w:t>Docker.</w:t>
            </w:r>
          </w:p>
          <w:p w:rsidR="00C218DD" w:rsidRDefault="00C218DD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Obudowa</w:t>
            </w:r>
          </w:p>
          <w:p w:rsidR="00C218DD" w:rsidRDefault="00882565">
            <w:pPr>
              <w:spacing w:after="0" w:line="240" w:lineRule="auto"/>
              <w:ind w:left="72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Obudowa typu Midi Tower kompatybilna z płytą główną w formacie ATX, zapewniająca odpowiednie warunki chłodzenia dla podzespołów komputera oraz możliwość późniejszej rozbudowy.</w:t>
            </w:r>
          </w:p>
          <w:p w:rsidR="00C218DD" w:rsidRDefault="00882565">
            <w:pPr>
              <w:spacing w:after="0" w:line="240" w:lineRule="auto"/>
              <w:ind w:left="72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Kolor obudowy: czarny lub grafitowy, o jednolitej, stonowanej stylistyce odpowiedniej do zastosowań biurowych i dydaktycznych.</w:t>
            </w:r>
          </w:p>
          <w:p w:rsidR="00C218DD" w:rsidRDefault="00882565">
            <w:pPr>
              <w:spacing w:after="0" w:line="240" w:lineRule="auto"/>
              <w:ind w:left="72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Minimalne wymagania:</w:t>
            </w:r>
          </w:p>
          <w:p w:rsidR="00C218DD" w:rsidRDefault="00882565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 xml:space="preserve">kompatybilność z płytami głównymi ATX, </w:t>
            </w:r>
            <w:proofErr w:type="spellStart"/>
            <w:r>
              <w:rPr>
                <w:rFonts w:ascii="Calibri" w:hAnsi="Calibri" w:cstheme="minorHAnsi"/>
                <w:sz w:val="22"/>
              </w:rPr>
              <w:t>microATX</w:t>
            </w:r>
            <w:proofErr w:type="spellEnd"/>
            <w:r>
              <w:rPr>
                <w:rFonts w:ascii="Calibri" w:hAnsi="Calibri" w:cstheme="minorHAnsi"/>
                <w:sz w:val="22"/>
              </w:rPr>
              <w:t xml:space="preserve"> i Mini-ITX,</w:t>
            </w:r>
          </w:p>
          <w:p w:rsidR="00C218DD" w:rsidRDefault="00882565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lastRenderedPageBreak/>
              <w:t>minimum 3 fabrycznie zainstalowane wentylatory (co najmniej 2 z przodu i 1 z tyłu),</w:t>
            </w:r>
          </w:p>
          <w:p w:rsidR="00C218DD" w:rsidRDefault="00882565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 xml:space="preserve">filtry </w:t>
            </w:r>
            <w:proofErr w:type="spellStart"/>
            <w:r>
              <w:rPr>
                <w:rFonts w:ascii="Calibri" w:hAnsi="Calibri" w:cstheme="minorHAnsi"/>
                <w:sz w:val="22"/>
              </w:rPr>
              <w:t>przeciwkurzowe</w:t>
            </w:r>
            <w:proofErr w:type="spellEnd"/>
            <w:r>
              <w:rPr>
                <w:rFonts w:ascii="Calibri" w:hAnsi="Calibri" w:cstheme="minorHAnsi"/>
                <w:sz w:val="22"/>
              </w:rPr>
              <w:t xml:space="preserve"> na wlotach powietrza,</w:t>
            </w:r>
          </w:p>
          <w:p w:rsidR="00C218DD" w:rsidRDefault="00882565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minimum 2 zatoki wewnętrzne 2,5",</w:t>
            </w:r>
          </w:p>
          <w:p w:rsidR="00C218DD" w:rsidRDefault="00882565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minimum 2 zatoki wewnętrzne 3,5",</w:t>
            </w:r>
          </w:p>
          <w:p w:rsidR="00C218DD" w:rsidRDefault="00882565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możliwość montażu kart graficznych o długości co najmniej 300 mm,</w:t>
            </w:r>
          </w:p>
          <w:p w:rsidR="00C218DD" w:rsidRDefault="00882565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możliwość montażu chłodzenia procesora o wysokości co najmniej 160 mm,</w:t>
            </w:r>
          </w:p>
          <w:p w:rsidR="00C218DD" w:rsidRDefault="00882565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panel przedni lub górny wyposażony w co najmniej:</w:t>
            </w:r>
          </w:p>
          <w:p w:rsidR="00C218DD" w:rsidRDefault="00882565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2 porty USB 3.x typu A,</w:t>
            </w:r>
          </w:p>
          <w:p w:rsidR="00C218DD" w:rsidRDefault="00882565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wyjście słuchawkowe,</w:t>
            </w:r>
          </w:p>
          <w:p w:rsidR="00C218DD" w:rsidRDefault="00882565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 xml:space="preserve">wejście mikrofonowe lub złącze </w:t>
            </w:r>
            <w:proofErr w:type="spellStart"/>
            <w:r>
              <w:rPr>
                <w:rFonts w:ascii="Calibri" w:hAnsi="Calibri" w:cstheme="minorHAnsi"/>
                <w:sz w:val="22"/>
              </w:rPr>
              <w:t>combo</w:t>
            </w:r>
            <w:proofErr w:type="spellEnd"/>
            <w:r>
              <w:rPr>
                <w:rFonts w:ascii="Calibri" w:hAnsi="Calibri" w:cstheme="minorHAnsi"/>
                <w:sz w:val="22"/>
              </w:rPr>
              <w:t xml:space="preserve"> audio.</w:t>
            </w: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Procesor </w:t>
            </w:r>
          </w:p>
          <w:p w:rsidR="00C218DD" w:rsidRDefault="00882565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cstheme="minorHAnsi"/>
                <w:sz w:val="22"/>
              </w:rPr>
              <w:t xml:space="preserve">Procesor wprowadzony do produkcji nie wcześniej niż w I kwartale 2024 roku, posiadający co najmniej 8 rdzeni fizycznych, obsługujący pamięć DDR5, osiągający minimum 35 000 punktów w teście </w:t>
            </w:r>
            <w:proofErr w:type="spellStart"/>
            <w:r>
              <w:rPr>
                <w:rFonts w:cstheme="minorHAnsi"/>
                <w:sz w:val="22"/>
              </w:rPr>
              <w:t>PassMark</w:t>
            </w:r>
            <w:proofErr w:type="spellEnd"/>
            <w:r>
              <w:rPr>
                <w:rFonts w:cstheme="minorHAnsi"/>
                <w:sz w:val="22"/>
              </w:rPr>
              <w:t xml:space="preserve"> CPU Mark oraz minimum 4000 punktów w teście </w:t>
            </w:r>
            <w:proofErr w:type="spellStart"/>
            <w:r>
              <w:rPr>
                <w:rFonts w:cstheme="minorHAnsi"/>
                <w:sz w:val="22"/>
              </w:rPr>
              <w:t>PassMark</w:t>
            </w:r>
            <w:proofErr w:type="spellEnd"/>
            <w:r>
              <w:rPr>
                <w:rFonts w:cstheme="minorHAnsi"/>
                <w:sz w:val="22"/>
              </w:rPr>
              <w:t xml:space="preserve"> Single </w:t>
            </w:r>
            <w:proofErr w:type="spellStart"/>
            <w:r>
              <w:rPr>
                <w:rFonts w:cstheme="minorHAnsi"/>
                <w:sz w:val="22"/>
              </w:rPr>
              <w:t>Thread</w:t>
            </w:r>
            <w:proofErr w:type="spellEnd"/>
            <w:r>
              <w:rPr>
                <w:rFonts w:cstheme="minorHAnsi"/>
                <w:sz w:val="22"/>
              </w:rPr>
              <w:t xml:space="preserve"> Performance.</w:t>
            </w: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Płyta główna</w:t>
            </w:r>
          </w:p>
          <w:p w:rsidR="00C218DD" w:rsidRDefault="00882565">
            <w:pPr>
              <w:spacing w:after="0" w:line="240" w:lineRule="auto"/>
              <w:ind w:left="72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 xml:space="preserve">Płyta główna w formacie ATX kompatybilna z oferowanym procesorem i pamięciami DDR5, wyposażona w co najmniej: 4 gniazda DIMM DDR5 z obsługą minimum 128 GB RAM, 2 gniazda M.2 </w:t>
            </w:r>
            <w:proofErr w:type="spellStart"/>
            <w:r>
              <w:rPr>
                <w:rFonts w:ascii="Calibri" w:hAnsi="Calibri" w:cstheme="minorHAnsi"/>
                <w:sz w:val="22"/>
              </w:rPr>
              <w:t>NVMe</w:t>
            </w:r>
            <w:proofErr w:type="spellEnd"/>
            <w:r>
              <w:rPr>
                <w:rFonts w:ascii="Calibri" w:hAnsi="Calibri" w:cstheme="minorHAnsi"/>
                <w:sz w:val="22"/>
              </w:rPr>
              <w:t xml:space="preserve"> </w:t>
            </w:r>
            <w:proofErr w:type="spellStart"/>
            <w:r>
              <w:rPr>
                <w:rFonts w:ascii="Calibri" w:hAnsi="Calibri" w:cstheme="minorHAnsi"/>
                <w:sz w:val="22"/>
              </w:rPr>
              <w:t>PCIe</w:t>
            </w:r>
            <w:proofErr w:type="spellEnd"/>
            <w:r>
              <w:rPr>
                <w:rFonts w:ascii="Calibri" w:hAnsi="Calibri" w:cstheme="minorHAnsi"/>
                <w:sz w:val="22"/>
              </w:rPr>
              <w:t xml:space="preserve"> x4, 4 porty SATA 6 </w:t>
            </w:r>
            <w:proofErr w:type="spellStart"/>
            <w:r>
              <w:rPr>
                <w:rFonts w:ascii="Calibri" w:hAnsi="Calibri" w:cstheme="minorHAnsi"/>
                <w:sz w:val="22"/>
              </w:rPr>
              <w:t>Gb</w:t>
            </w:r>
            <w:proofErr w:type="spellEnd"/>
            <w:r>
              <w:rPr>
                <w:rFonts w:ascii="Calibri" w:hAnsi="Calibri" w:cstheme="minorHAnsi"/>
                <w:sz w:val="22"/>
              </w:rPr>
              <w:t xml:space="preserve">/s, 1 gniazdo PCI Express x16 dla karty graficznej, 1 dodatkowe gniazdo PCI Express x16 (elektrycznie x4 lub lepsze), 1 gniazdo PCI Express x1, minimum 6 portów USB typu A na tylnym panelu (w tym 4 × USB 3.2 Gen 1 lub szybsze), port RJ-45 1 </w:t>
            </w:r>
            <w:proofErr w:type="spellStart"/>
            <w:r>
              <w:rPr>
                <w:rFonts w:ascii="Calibri" w:hAnsi="Calibri" w:cstheme="minorHAnsi"/>
                <w:sz w:val="22"/>
              </w:rPr>
              <w:t>Gb</w:t>
            </w:r>
            <w:proofErr w:type="spellEnd"/>
            <w:r>
              <w:rPr>
                <w:rFonts w:ascii="Calibri" w:hAnsi="Calibri" w:cstheme="minorHAnsi"/>
                <w:sz w:val="22"/>
              </w:rPr>
              <w:t xml:space="preserve">/s lub szybszy, minimum 3 analogowe złącza audio oraz minimum 1 cyfrowe wyjście obrazu HDMI lub </w:t>
            </w:r>
            <w:proofErr w:type="spellStart"/>
            <w:r>
              <w:rPr>
                <w:rFonts w:ascii="Calibri" w:hAnsi="Calibri" w:cstheme="minorHAnsi"/>
                <w:sz w:val="22"/>
              </w:rPr>
              <w:t>DisplayPort</w:t>
            </w:r>
            <w:proofErr w:type="spellEnd"/>
            <w:r>
              <w:rPr>
                <w:rFonts w:ascii="Calibri" w:hAnsi="Calibri" w:cstheme="minorHAnsi"/>
                <w:sz w:val="22"/>
              </w:rPr>
              <w:t xml:space="preserve">. Płyta główna musi posiadać funkcję aktualizacji BIOS bez zainstalowanego systemu operacyjnego (np. BIOS </w:t>
            </w:r>
            <w:proofErr w:type="spellStart"/>
            <w:r>
              <w:rPr>
                <w:rFonts w:ascii="Calibri" w:hAnsi="Calibri" w:cstheme="minorHAnsi"/>
                <w:sz w:val="22"/>
              </w:rPr>
              <w:t>Flashback</w:t>
            </w:r>
            <w:proofErr w:type="spellEnd"/>
            <w:r>
              <w:rPr>
                <w:rFonts w:ascii="Calibri" w:hAnsi="Calibri" w:cstheme="minorHAnsi"/>
                <w:sz w:val="22"/>
              </w:rPr>
              <w:t xml:space="preserve"> lub rozwiązanie równoważne) oraz obsługę TPM 2.0.</w:t>
            </w:r>
          </w:p>
          <w:p w:rsidR="00C218DD" w:rsidRDefault="00C218DD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Karta graficzna</w:t>
            </w:r>
          </w:p>
          <w:p w:rsidR="00C218DD" w:rsidRDefault="00882565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cstheme="minorHAnsi"/>
                <w:sz w:val="22"/>
              </w:rPr>
              <w:t xml:space="preserve">Dedykowana karta graficzna wprowadzona do produkcji nie wcześniej niż w 2023 roku, wyposażona w minimum 8 GB pamięci GDDR6, wspierająca obliczenia GPGPU, umożliwiająca wykorzystanie aktualnych wersji bibliotek CUDA, </w:t>
            </w:r>
            <w:proofErr w:type="spellStart"/>
            <w:r>
              <w:rPr>
                <w:rFonts w:cstheme="minorHAnsi"/>
                <w:sz w:val="22"/>
              </w:rPr>
              <w:lastRenderedPageBreak/>
              <w:t>cuDNN</w:t>
            </w:r>
            <w:proofErr w:type="spellEnd"/>
            <w:r>
              <w:rPr>
                <w:rFonts w:cstheme="minorHAnsi"/>
                <w:sz w:val="22"/>
              </w:rPr>
              <w:t xml:space="preserve"> i </w:t>
            </w:r>
            <w:proofErr w:type="spellStart"/>
            <w:r>
              <w:rPr>
                <w:rFonts w:cstheme="minorHAnsi"/>
                <w:sz w:val="22"/>
              </w:rPr>
              <w:t>TensorRT</w:t>
            </w:r>
            <w:proofErr w:type="spellEnd"/>
            <w:r>
              <w:rPr>
                <w:rFonts w:cstheme="minorHAnsi"/>
                <w:sz w:val="22"/>
              </w:rPr>
              <w:t xml:space="preserve"> dostępnych na dzień składania oferty,  osiągająca minimum 15 000 punktów w teście </w:t>
            </w:r>
            <w:proofErr w:type="spellStart"/>
            <w:r>
              <w:rPr>
                <w:rFonts w:cstheme="minorHAnsi"/>
                <w:sz w:val="22"/>
              </w:rPr>
              <w:t>PassMark</w:t>
            </w:r>
            <w:proofErr w:type="spellEnd"/>
            <w:r>
              <w:rPr>
                <w:rFonts w:cstheme="minorHAnsi"/>
                <w:sz w:val="22"/>
              </w:rPr>
              <w:t xml:space="preserve"> G3D Mark.</w:t>
            </w:r>
          </w:p>
          <w:p w:rsidR="00C218DD" w:rsidRDefault="00C218DD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Pamięć RAM</w:t>
            </w:r>
          </w:p>
          <w:p w:rsidR="00C218DD" w:rsidRDefault="00882565">
            <w:pPr>
              <w:spacing w:after="0" w:line="240" w:lineRule="auto"/>
              <w:ind w:left="72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Minimum 32 GB DDR5 pracującej w trybie Dual Channel (2 × 16 GB), z możliwością rozbudowy do co najmniej 128 GB.</w:t>
            </w: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DYSK</w:t>
            </w:r>
          </w:p>
          <w:p w:rsidR="00C218DD" w:rsidRDefault="00882565">
            <w:pPr>
              <w:spacing w:after="0" w:line="240" w:lineRule="auto"/>
              <w:ind w:left="726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 xml:space="preserve">Dysk półprzewodnikowy SSD w formacie M.2 2280, wykorzystujący interfejs PCI Express 4.0 x4 </w:t>
            </w:r>
            <w:proofErr w:type="spellStart"/>
            <w:r>
              <w:rPr>
                <w:rFonts w:ascii="Calibri" w:hAnsi="Calibri" w:cstheme="minorHAnsi"/>
                <w:sz w:val="22"/>
              </w:rPr>
              <w:t>NVMe</w:t>
            </w:r>
            <w:proofErr w:type="spellEnd"/>
            <w:r>
              <w:rPr>
                <w:rFonts w:ascii="Calibri" w:hAnsi="Calibri" w:cstheme="minorHAnsi"/>
                <w:sz w:val="22"/>
              </w:rPr>
              <w:t xml:space="preserve"> lub nowszy, o pojemności nie mniejszej niż 1 TB, wyposażony w pamięć podręczną DRAM lub technologię równoważną zapewniającą stabilną wydajność przy długotrwałym obciążeniu.</w:t>
            </w:r>
          </w:p>
          <w:p w:rsidR="00C218DD" w:rsidRDefault="00882565">
            <w:pPr>
              <w:spacing w:after="0" w:line="240" w:lineRule="auto"/>
              <w:ind w:left="726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Minimalne parametry użytkowe:</w:t>
            </w:r>
          </w:p>
          <w:p w:rsidR="00C218DD" w:rsidRDefault="00C218DD">
            <w:pPr>
              <w:spacing w:after="0" w:line="240" w:lineRule="auto"/>
              <w:ind w:left="726"/>
              <w:rPr>
                <w:rFonts w:asciiTheme="minorHAnsi" w:hAnsiTheme="minorHAnsi" w:cstheme="minorHAnsi"/>
                <w:sz w:val="22"/>
              </w:rPr>
            </w:pPr>
          </w:p>
          <w:p w:rsidR="00C218DD" w:rsidRDefault="00882565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sekwencyjny odczyt danych: co najmniej 5 000 MB/s,</w:t>
            </w:r>
          </w:p>
          <w:p w:rsidR="00C218DD" w:rsidRDefault="00882565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sekwencyjny zapis danych: co najmniej 4 000 MB/s,</w:t>
            </w:r>
          </w:p>
          <w:p w:rsidR="00C218DD" w:rsidRDefault="00882565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losowy odczyt 4K: co najmniej 500 000 IOPS,</w:t>
            </w:r>
          </w:p>
          <w:p w:rsidR="00C218DD" w:rsidRDefault="00882565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losowy zapis 4K: co najmniej 600 000 IOPS,</w:t>
            </w:r>
          </w:p>
          <w:p w:rsidR="00C218DD" w:rsidRDefault="00882565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deklarowana trwałość (TBW): co najmniej 600 TB,</w:t>
            </w:r>
          </w:p>
          <w:p w:rsidR="00C218DD" w:rsidRDefault="00882565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deklarowany współczynnik niezawodności MTBF: co najmniej 1 500 000 godzin,</w:t>
            </w:r>
          </w:p>
          <w:p w:rsidR="00C218DD" w:rsidRDefault="00882565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gwarancja producenta: minimum 5 lat.</w:t>
            </w:r>
          </w:p>
          <w:p w:rsidR="00C218DD" w:rsidRDefault="00C218DD">
            <w:pPr>
              <w:spacing w:after="0" w:line="240" w:lineRule="auto"/>
              <w:ind w:left="726"/>
              <w:rPr>
                <w:rFonts w:asciiTheme="minorHAnsi" w:hAnsiTheme="minorHAnsi" w:cstheme="minorHAnsi"/>
                <w:sz w:val="22"/>
              </w:rPr>
            </w:pPr>
          </w:p>
          <w:p w:rsidR="00C218DD" w:rsidRDefault="00882565">
            <w:pPr>
              <w:spacing w:after="0" w:line="240" w:lineRule="auto"/>
              <w:ind w:left="726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Dysk musi być fabrycznie nowy i przeznaczony do zastosowań profesjonalnych lub konsumenckich o podwyższonej trwałości.</w:t>
            </w:r>
          </w:p>
          <w:p w:rsidR="00C218DD" w:rsidRDefault="00C218DD">
            <w:pPr>
              <w:spacing w:after="0" w:line="240" w:lineRule="auto"/>
              <w:ind w:left="720"/>
              <w:rPr>
                <w:rFonts w:asciiTheme="minorHAnsi" w:hAnsiTheme="minorHAnsi" w:cstheme="minorHAnsi"/>
                <w:sz w:val="22"/>
              </w:rPr>
            </w:pP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Zasilacz</w:t>
            </w:r>
          </w:p>
          <w:p w:rsidR="00C218DD" w:rsidRDefault="00882565">
            <w:pPr>
              <w:spacing w:after="0" w:line="240" w:lineRule="auto"/>
              <w:ind w:left="72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Zasilacz ATX o mocy znamionowej minimum 650 W, posiadający certyfikat sprawności minimum 80 PLUS Gold, wyposażony w komplet zabezpieczeń elektronicznych (OVP, UVP, OCP, OPP, SCP, OTP), przystosowany do pracy ciągłej pod pełnym obciążeniem oraz zapewniający stabilną i poprawną pracę wszystkich komponentów oferowanego zestawu komputerowego. Gwarancja producenta minimum 5 lat.</w:t>
            </w:r>
          </w:p>
          <w:p w:rsidR="00C218DD" w:rsidRDefault="00C218DD">
            <w:pPr>
              <w:spacing w:after="0" w:line="240" w:lineRule="auto"/>
              <w:ind w:left="720"/>
              <w:rPr>
                <w:rFonts w:asciiTheme="minorHAnsi" w:hAnsiTheme="minorHAnsi" w:cstheme="minorHAnsi"/>
                <w:sz w:val="22"/>
              </w:rPr>
            </w:pP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Chłodzenie</w:t>
            </w:r>
          </w:p>
          <w:p w:rsidR="00C218DD" w:rsidRDefault="00882565">
            <w:pPr>
              <w:spacing w:after="0" w:line="240" w:lineRule="auto"/>
              <w:ind w:left="72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 xml:space="preserve">Wydajny układ chłodzenia powietrznego przystosowany do ciągłej pracy procesora pod </w:t>
            </w:r>
            <w:r>
              <w:rPr>
                <w:rFonts w:ascii="Calibri" w:hAnsi="Calibri" w:cstheme="minorHAnsi"/>
                <w:sz w:val="22"/>
              </w:rPr>
              <w:lastRenderedPageBreak/>
              <w:t>pełnym obciążeniem, zapewniający utrzymanie temperatur roboczych zgodnych ze specyfikacją producenta procesora bez ograniczania wydajności (</w:t>
            </w:r>
            <w:proofErr w:type="spellStart"/>
            <w:r>
              <w:rPr>
                <w:rFonts w:ascii="Calibri" w:hAnsi="Calibri" w:cstheme="minorHAnsi"/>
                <w:sz w:val="22"/>
              </w:rPr>
              <w:t>thermal</w:t>
            </w:r>
            <w:proofErr w:type="spellEnd"/>
            <w:r>
              <w:rPr>
                <w:rFonts w:ascii="Calibri" w:hAnsi="Calibri" w:cstheme="minorHAnsi"/>
                <w:sz w:val="22"/>
              </w:rPr>
              <w:t xml:space="preserve"> </w:t>
            </w:r>
            <w:proofErr w:type="spellStart"/>
            <w:r>
              <w:rPr>
                <w:rFonts w:ascii="Calibri" w:hAnsi="Calibri" w:cstheme="minorHAnsi"/>
                <w:sz w:val="22"/>
              </w:rPr>
              <w:t>throttling</w:t>
            </w:r>
            <w:proofErr w:type="spellEnd"/>
            <w:r>
              <w:rPr>
                <w:rFonts w:ascii="Calibri" w:hAnsi="Calibri" w:cstheme="minorHAnsi"/>
                <w:sz w:val="22"/>
              </w:rPr>
              <w:t>).</w:t>
            </w:r>
          </w:p>
          <w:p w:rsidR="00C218DD" w:rsidRDefault="00882565">
            <w:pPr>
              <w:spacing w:after="0" w:line="240" w:lineRule="auto"/>
              <w:ind w:left="72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Minimalne wymagania:</w:t>
            </w:r>
          </w:p>
          <w:p w:rsidR="00C218DD" w:rsidRDefault="00882565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radiator wyposażony w co najmniej 5 ciepłowodów (</w:t>
            </w:r>
            <w:proofErr w:type="spellStart"/>
            <w:r>
              <w:rPr>
                <w:rFonts w:ascii="Calibri" w:hAnsi="Calibri" w:cstheme="minorHAnsi"/>
                <w:sz w:val="22"/>
              </w:rPr>
              <w:t>heatpipe</w:t>
            </w:r>
            <w:proofErr w:type="spellEnd"/>
            <w:r>
              <w:rPr>
                <w:rFonts w:ascii="Calibri" w:hAnsi="Calibri" w:cstheme="minorHAnsi"/>
                <w:sz w:val="22"/>
              </w:rPr>
              <w:t>),</w:t>
            </w:r>
          </w:p>
          <w:p w:rsidR="00C218DD" w:rsidRDefault="00882565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wentylator sterowany sygnałem PWM (4-pin),</w:t>
            </w:r>
          </w:p>
          <w:p w:rsidR="00C218DD" w:rsidRDefault="00882565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zastosowane łożysko typu FDB, hydrodynamiczne lub równoważne,</w:t>
            </w:r>
          </w:p>
          <w:p w:rsidR="00C218DD" w:rsidRDefault="00882565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deklarowana żywotność wentylatora co najmniej 100 000 godzin,</w:t>
            </w:r>
          </w:p>
          <w:p w:rsidR="00C218DD" w:rsidRDefault="00882565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 xml:space="preserve">poziom hałasu przy typowym obciążeniu nie większy niż 35 </w:t>
            </w:r>
            <w:proofErr w:type="spellStart"/>
            <w:r>
              <w:rPr>
                <w:rFonts w:ascii="Calibri" w:hAnsi="Calibri" w:cstheme="minorHAnsi"/>
                <w:sz w:val="22"/>
              </w:rPr>
              <w:t>dBA</w:t>
            </w:r>
            <w:proofErr w:type="spellEnd"/>
            <w:r>
              <w:rPr>
                <w:rFonts w:ascii="Calibri" w:hAnsi="Calibri" w:cstheme="minorHAnsi"/>
                <w:sz w:val="22"/>
              </w:rPr>
              <w:t>,</w:t>
            </w:r>
          </w:p>
          <w:p w:rsidR="00C218DD" w:rsidRDefault="00882565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kompatybilność z oferowanym procesorem i obudową.</w:t>
            </w: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="Calibri" w:hAnsi="Calibri" w:cstheme="minorHAnsi"/>
                <w:b/>
                <w:bCs/>
                <w:sz w:val="22"/>
              </w:rPr>
              <w:t>Klawiatura i mysz</w:t>
            </w:r>
          </w:p>
          <w:p w:rsidR="00C218DD" w:rsidRDefault="00882565">
            <w:pPr>
              <w:spacing w:after="0" w:line="240" w:lineRule="auto"/>
              <w:ind w:left="709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Klawiatura:</w:t>
            </w:r>
          </w:p>
          <w:p w:rsidR="00C218DD" w:rsidRDefault="00882565">
            <w:pPr>
              <w:numPr>
                <w:ilvl w:val="1"/>
                <w:numId w:val="8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pełnowymiarowa, w standardzie QWERTY,</w:t>
            </w:r>
          </w:p>
          <w:p w:rsidR="00C218DD" w:rsidRDefault="00882565">
            <w:pPr>
              <w:numPr>
                <w:ilvl w:val="1"/>
                <w:numId w:val="8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układ klawiszy polski programisty,</w:t>
            </w:r>
          </w:p>
          <w:p w:rsidR="00C218DD" w:rsidRDefault="00882565">
            <w:pPr>
              <w:numPr>
                <w:ilvl w:val="1"/>
                <w:numId w:val="8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wydzielony blok numeryczny,</w:t>
            </w:r>
          </w:p>
          <w:p w:rsidR="00C218DD" w:rsidRDefault="00882565">
            <w:pPr>
              <w:numPr>
                <w:ilvl w:val="1"/>
                <w:numId w:val="8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interfejs USB,</w:t>
            </w:r>
          </w:p>
          <w:p w:rsidR="00C218DD" w:rsidRDefault="00882565">
            <w:pPr>
              <w:numPr>
                <w:ilvl w:val="1"/>
                <w:numId w:val="8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kolor czarny lub grafitowy.</w:t>
            </w:r>
          </w:p>
          <w:p w:rsidR="00C218DD" w:rsidRDefault="00C218DD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  <w:p w:rsidR="00C218DD" w:rsidRDefault="00882565">
            <w:pPr>
              <w:spacing w:after="0" w:line="240" w:lineRule="auto"/>
              <w:ind w:left="709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Mysz:</w:t>
            </w:r>
          </w:p>
          <w:p w:rsidR="00C218DD" w:rsidRDefault="00882565">
            <w:pPr>
              <w:numPr>
                <w:ilvl w:val="1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optyczna lub laserowa,</w:t>
            </w:r>
          </w:p>
          <w:p w:rsidR="00C218DD" w:rsidRDefault="00882565">
            <w:pPr>
              <w:numPr>
                <w:ilvl w:val="1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minimum 3 przyciski oraz rolka przewijania,</w:t>
            </w:r>
          </w:p>
          <w:p w:rsidR="00C218DD" w:rsidRDefault="00882565">
            <w:pPr>
              <w:numPr>
                <w:ilvl w:val="1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rozdzielczość sensora minimum 1000 DPI,</w:t>
            </w:r>
          </w:p>
          <w:p w:rsidR="00C218DD" w:rsidRDefault="00882565">
            <w:pPr>
              <w:numPr>
                <w:ilvl w:val="1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interfejs USB,</w:t>
            </w:r>
          </w:p>
          <w:p w:rsidR="00C218DD" w:rsidRDefault="00882565">
            <w:pPr>
              <w:numPr>
                <w:ilvl w:val="1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przeznaczona dla użytkowników prawo- i leworęcznych,</w:t>
            </w:r>
          </w:p>
          <w:p w:rsidR="00C218DD" w:rsidRDefault="00882565">
            <w:pPr>
              <w:numPr>
                <w:ilvl w:val="1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kolor czarny lub grafitowy.</w:t>
            </w:r>
          </w:p>
          <w:p w:rsidR="00C218DD" w:rsidRDefault="00C218DD" w:rsidP="001B28AA">
            <w:pPr>
              <w:spacing w:after="0" w:line="240" w:lineRule="auto"/>
              <w:ind w:left="709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DD" w:rsidRDefault="00C218DD">
            <w:pPr>
              <w:tabs>
                <w:tab w:val="left" w:pos="5220"/>
                <w:tab w:val="left" w:pos="6120"/>
                <w:tab w:val="left" w:pos="7740"/>
              </w:tabs>
              <w:snapToGrid w:val="0"/>
              <w:jc w:val="center"/>
              <w:rPr>
                <w:rFonts w:cs="Arial"/>
                <w:b/>
                <w:sz w:val="22"/>
              </w:rPr>
            </w:pPr>
          </w:p>
        </w:tc>
      </w:tr>
      <w:tr w:rsidR="00C218DD">
        <w:tc>
          <w:tcPr>
            <w:tcW w:w="634" w:type="dxa"/>
            <w:tcBorders>
              <w:left w:val="single" w:sz="4" w:space="0" w:color="000000"/>
              <w:bottom w:val="single" w:sz="4" w:space="0" w:color="000000"/>
            </w:tcBorders>
          </w:tcPr>
          <w:p w:rsidR="00C218DD" w:rsidRDefault="00882565">
            <w:pPr>
              <w:tabs>
                <w:tab w:val="left" w:pos="5220"/>
                <w:tab w:val="left" w:pos="6120"/>
                <w:tab w:val="left" w:pos="7740"/>
              </w:tabs>
              <w:snapToGrid w:val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2.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</w:tcPr>
          <w:p w:rsidR="00C218DD" w:rsidRDefault="00882565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="Calibri" w:hAnsi="Calibri" w:cstheme="minorHAnsi"/>
                <w:b/>
                <w:bCs/>
                <w:sz w:val="22"/>
              </w:rPr>
              <w:t>Wymagania eksploatacyjne:</w:t>
            </w:r>
          </w:p>
          <w:p w:rsidR="00C218DD" w:rsidRDefault="00882565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Komputer musi być fabrycznie nowy.</w:t>
            </w:r>
          </w:p>
          <w:p w:rsidR="00C218DD" w:rsidRDefault="00882565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Wszystkie komponenty muszą pochodzić z legalnego kanału dystrybucji.</w:t>
            </w:r>
          </w:p>
          <w:p w:rsidR="00C218DD" w:rsidRDefault="00882565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Konstrukcja musi zapewniać stabilną pracę przy długotrwałym obciążeniu CPU i GPU.</w:t>
            </w:r>
          </w:p>
          <w:p w:rsidR="00C218DD" w:rsidRDefault="00882565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Komputer musi umożliwiać rozbudowę pamięci RAM oraz wymianę karty graficznej.</w:t>
            </w:r>
          </w:p>
          <w:p w:rsidR="00C218DD" w:rsidRDefault="00882565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Komputer powinien obsługiwać jednocześnie co najmniej dwa monitory.</w:t>
            </w:r>
          </w:p>
          <w:p w:rsidR="00C218DD" w:rsidRDefault="00882565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Gwarancja:</w:t>
            </w:r>
          </w:p>
          <w:p w:rsidR="00C218DD" w:rsidRDefault="00882565">
            <w:pPr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Minimalny okres gwarancji: 36 miesięcy.</w:t>
            </w:r>
          </w:p>
          <w:p w:rsidR="00C218DD" w:rsidRDefault="00882565">
            <w:pPr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Serwis realizowany na terenie Polski.</w:t>
            </w:r>
          </w:p>
          <w:p w:rsidR="00C218DD" w:rsidRDefault="00882565">
            <w:pPr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="Calibri" w:hAnsi="Calibri" w:cstheme="minorHAnsi"/>
                <w:sz w:val="22"/>
              </w:rPr>
              <w:t>Gwarancja producenta lub autoryzowanego partnera.</w:t>
            </w:r>
          </w:p>
          <w:p w:rsidR="00C218DD" w:rsidRDefault="00C218DD">
            <w:pPr>
              <w:spacing w:after="0" w:line="240" w:lineRule="auto"/>
              <w:ind w:left="720"/>
              <w:rPr>
                <w:sz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DD" w:rsidRDefault="00C218DD">
            <w:pPr>
              <w:tabs>
                <w:tab w:val="left" w:pos="5220"/>
                <w:tab w:val="left" w:pos="6120"/>
                <w:tab w:val="left" w:pos="7740"/>
              </w:tabs>
              <w:snapToGrid w:val="0"/>
              <w:jc w:val="center"/>
              <w:rPr>
                <w:rFonts w:cs="Arial"/>
                <w:b/>
                <w:sz w:val="22"/>
              </w:rPr>
            </w:pPr>
          </w:p>
        </w:tc>
      </w:tr>
      <w:tr w:rsidR="00C218DD">
        <w:tc>
          <w:tcPr>
            <w:tcW w:w="634" w:type="dxa"/>
            <w:tcBorders>
              <w:left w:val="single" w:sz="4" w:space="0" w:color="000000"/>
              <w:bottom w:val="single" w:sz="4" w:space="0" w:color="000000"/>
            </w:tcBorders>
          </w:tcPr>
          <w:p w:rsidR="00C218DD" w:rsidRDefault="00882565">
            <w:pPr>
              <w:tabs>
                <w:tab w:val="left" w:pos="5220"/>
                <w:tab w:val="left" w:pos="6120"/>
                <w:tab w:val="left" w:pos="7740"/>
              </w:tabs>
              <w:snapToGrid w:val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3.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</w:tcPr>
          <w:p w:rsidR="00C218DD" w:rsidRDefault="00882565">
            <w:pPr>
              <w:spacing w:line="240" w:lineRule="auto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Informacje dodatkowe:</w:t>
            </w: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Opis wymagań wydajnościowych procesorów odnosi się do testów udostępnianych na stronach serwisu </w:t>
            </w:r>
            <w:hyperlink r:id="rId8">
              <w:r>
                <w:rPr>
                  <w:rStyle w:val="Hipercze"/>
                  <w:rFonts w:asciiTheme="minorHAnsi" w:hAnsiTheme="minorHAnsi" w:cstheme="minorHAnsi"/>
                  <w:sz w:val="22"/>
                </w:rPr>
                <w:t>https://www.cpubenchmark.net/</w:t>
              </w:r>
            </w:hyperlink>
          </w:p>
          <w:p w:rsidR="00C218DD" w:rsidRDefault="00C218DD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w kolumnie Proponowane parametry techniczne potwierdzające spełnienie wymagań Zamawiającego należy wpisać parametry oferowane lub gdy parametry oferowane są tożsame z wymaganiami zamawiającego, wpisać „zgodny” lub „tak” lub „jak obok”</w:t>
            </w:r>
          </w:p>
          <w:p w:rsidR="00C218DD" w:rsidRDefault="00C218DD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  <w:p w:rsidR="00C218DD" w:rsidRDefault="00882565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Należy wpisać nazwę producenta i model produktu. W przypadku gdy model komputera nie identyfikuje jednoznacznie wymaganych parametrów technicznych, podać producenta i nazwy podzespołów (jednostka centralna)</w:t>
            </w:r>
          </w:p>
          <w:p w:rsidR="00C218DD" w:rsidRDefault="00C218DD">
            <w:pPr>
              <w:spacing w:after="0" w:line="240" w:lineRule="auto"/>
              <w:ind w:left="720"/>
              <w:rPr>
                <w:sz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8DD" w:rsidRDefault="00C218DD">
            <w:pPr>
              <w:tabs>
                <w:tab w:val="left" w:pos="5220"/>
                <w:tab w:val="left" w:pos="6120"/>
                <w:tab w:val="left" w:pos="7740"/>
              </w:tabs>
              <w:snapToGrid w:val="0"/>
              <w:jc w:val="center"/>
              <w:rPr>
                <w:rFonts w:cs="Arial"/>
                <w:b/>
                <w:sz w:val="22"/>
              </w:rPr>
            </w:pPr>
          </w:p>
        </w:tc>
      </w:tr>
    </w:tbl>
    <w:p w:rsidR="00C218DD" w:rsidRDefault="00C218DD">
      <w:pPr>
        <w:spacing w:before="120"/>
        <w:rPr>
          <w:sz w:val="22"/>
          <w:lang w:val="en-US"/>
        </w:rPr>
      </w:pPr>
    </w:p>
    <w:p w:rsidR="00325175" w:rsidRDefault="00325175" w:rsidP="00325175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......................................</w:t>
      </w:r>
    </w:p>
    <w:p w:rsidR="00325175" w:rsidRDefault="00325175" w:rsidP="00325175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(miejsce, data)</w:t>
      </w:r>
    </w:p>
    <w:p w:rsidR="00325175" w:rsidRDefault="00325175" w:rsidP="00325175">
      <w:pPr>
        <w:rPr>
          <w:rFonts w:asciiTheme="minorHAnsi" w:hAnsiTheme="minorHAnsi" w:cstheme="minorHAnsi"/>
          <w:sz w:val="22"/>
        </w:rPr>
      </w:pPr>
    </w:p>
    <w:p w:rsidR="00325175" w:rsidRDefault="00325175" w:rsidP="00325175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Oferta powinna być sporządzona w języku polskim, z zachowaniem postaci elektronicznej i podpisana kwalifikowanym podpisem elektronicznym lub w postaci elektronicznej opatrzonej podpisem zaufanym lub podpisem osobistym.</w:t>
      </w:r>
    </w:p>
    <w:p w:rsidR="00C218DD" w:rsidRDefault="00C218DD"/>
    <w:sectPr w:rsidR="00C218DD">
      <w:footerReference w:type="default" r:id="rId9"/>
      <w:headerReference w:type="first" r:id="rId10"/>
      <w:pgSz w:w="11906" w:h="16838"/>
      <w:pgMar w:top="991" w:right="1417" w:bottom="1417" w:left="1134" w:header="0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69A" w:rsidRDefault="0056769A">
      <w:pPr>
        <w:spacing w:after="0" w:line="240" w:lineRule="auto"/>
      </w:pPr>
      <w:r>
        <w:separator/>
      </w:r>
    </w:p>
  </w:endnote>
  <w:endnote w:type="continuationSeparator" w:id="0">
    <w:p w:rsidR="0056769A" w:rsidRDefault="0056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8DD" w:rsidRDefault="00882565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1B28AA">
      <w:rPr>
        <w:noProof/>
      </w:rPr>
      <w:t>5</w:t>
    </w:r>
    <w:r>
      <w:fldChar w:fldCharType="end"/>
    </w:r>
  </w:p>
  <w:p w:rsidR="00C218DD" w:rsidRDefault="00C218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69A" w:rsidRDefault="0056769A">
      <w:pPr>
        <w:spacing w:after="0" w:line="240" w:lineRule="auto"/>
      </w:pPr>
      <w:r>
        <w:separator/>
      </w:r>
    </w:p>
  </w:footnote>
  <w:footnote w:type="continuationSeparator" w:id="0">
    <w:p w:rsidR="0056769A" w:rsidRDefault="0056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2BE" w:rsidRDefault="008F42BE" w:rsidP="008F42BE">
    <w:pPr>
      <w:tabs>
        <w:tab w:val="center" w:pos="4536"/>
        <w:tab w:val="right" w:pos="9072"/>
      </w:tabs>
      <w:suppressAutoHyphens w:val="0"/>
      <w:spacing w:after="0" w:line="240" w:lineRule="auto"/>
      <w:jc w:val="right"/>
      <w:rPr>
        <w:rFonts w:ascii="Calibri" w:eastAsia="Times New Roman" w:hAnsi="Calibri"/>
        <w:b/>
        <w:i/>
        <w:color w:val="385623"/>
        <w:sz w:val="16"/>
        <w:szCs w:val="24"/>
        <w:lang w:eastAsia="x-none"/>
      </w:rPr>
    </w:pPr>
  </w:p>
  <w:p w:rsidR="008F42BE" w:rsidRPr="008F42BE" w:rsidRDefault="008F42BE" w:rsidP="008F42BE">
    <w:pPr>
      <w:tabs>
        <w:tab w:val="center" w:pos="4536"/>
        <w:tab w:val="right" w:pos="9072"/>
      </w:tabs>
      <w:suppressAutoHyphens w:val="0"/>
      <w:spacing w:after="0" w:line="240" w:lineRule="auto"/>
      <w:jc w:val="right"/>
      <w:rPr>
        <w:rFonts w:ascii="Calibri" w:eastAsia="Times New Roman" w:hAnsi="Calibri"/>
        <w:b/>
        <w:i/>
        <w:color w:val="385623"/>
        <w:sz w:val="16"/>
        <w:szCs w:val="24"/>
        <w:lang w:eastAsia="x-none"/>
      </w:rPr>
    </w:pPr>
    <w:r w:rsidRPr="008F42BE">
      <w:rPr>
        <w:rFonts w:ascii="Calibri" w:eastAsia="Times New Roman" w:hAnsi="Calibri"/>
        <w:b/>
        <w:i/>
        <w:color w:val="385623"/>
        <w:sz w:val="16"/>
        <w:szCs w:val="24"/>
        <w:lang w:eastAsia="x-none"/>
      </w:rPr>
      <w:t>Załącznik nr 3</w:t>
    </w:r>
    <w:r w:rsidR="00542A03">
      <w:rPr>
        <w:rFonts w:ascii="Calibri" w:eastAsia="Times New Roman" w:hAnsi="Calibri"/>
        <w:b/>
        <w:i/>
        <w:color w:val="385623"/>
        <w:sz w:val="16"/>
        <w:szCs w:val="24"/>
        <w:lang w:eastAsia="x-none"/>
      </w:rPr>
      <w:t xml:space="preserve"> </w:t>
    </w:r>
    <w:r w:rsidRPr="008F42BE">
      <w:rPr>
        <w:rFonts w:ascii="Calibri" w:eastAsia="Times New Roman" w:hAnsi="Calibri"/>
        <w:b/>
        <w:i/>
        <w:color w:val="385623"/>
        <w:sz w:val="16"/>
        <w:szCs w:val="24"/>
        <w:lang w:eastAsia="x-none"/>
      </w:rPr>
      <w:t>do SWZ</w:t>
    </w:r>
  </w:p>
  <w:p w:rsidR="008F42BE" w:rsidRPr="008F42BE" w:rsidRDefault="008F42BE" w:rsidP="008F42BE">
    <w:pPr>
      <w:tabs>
        <w:tab w:val="center" w:pos="4536"/>
        <w:tab w:val="right" w:pos="9072"/>
      </w:tabs>
      <w:suppressAutoHyphens w:val="0"/>
      <w:spacing w:after="0" w:line="240" w:lineRule="auto"/>
      <w:jc w:val="right"/>
      <w:rPr>
        <w:rFonts w:ascii="Calibri" w:eastAsia="Times New Roman" w:hAnsi="Calibri"/>
        <w:b/>
        <w:i/>
        <w:color w:val="385623"/>
        <w:sz w:val="16"/>
        <w:szCs w:val="24"/>
        <w:lang w:eastAsia="x-none"/>
      </w:rPr>
    </w:pPr>
    <w:r w:rsidRPr="008F42BE">
      <w:rPr>
        <w:rFonts w:ascii="Calibri" w:eastAsia="Times New Roman" w:hAnsi="Calibri"/>
        <w:i/>
        <w:color w:val="385623"/>
        <w:sz w:val="16"/>
        <w:szCs w:val="24"/>
        <w:lang w:eastAsia="x-none"/>
      </w:rPr>
      <w:t xml:space="preserve">                       </w:t>
    </w:r>
    <w:r w:rsidRPr="008F42BE">
      <w:rPr>
        <w:rFonts w:ascii="Calibri" w:eastAsia="Times New Roman" w:hAnsi="Calibri"/>
        <w:i/>
        <w:color w:val="385623"/>
        <w:sz w:val="16"/>
        <w:szCs w:val="24"/>
        <w:lang w:val="x-none" w:eastAsia="x-none"/>
      </w:rPr>
      <w:t>Postępowanie</w:t>
    </w:r>
    <w:r w:rsidRPr="008F42BE">
      <w:rPr>
        <w:rFonts w:ascii="Calibri" w:eastAsia="Times New Roman" w:hAnsi="Calibri"/>
        <w:i/>
        <w:color w:val="385623"/>
        <w:sz w:val="16"/>
        <w:szCs w:val="24"/>
        <w:lang w:eastAsia="x-none"/>
      </w:rPr>
      <w:t xml:space="preserve"> </w:t>
    </w:r>
    <w:r w:rsidRPr="008F42BE">
      <w:rPr>
        <w:rFonts w:ascii="Calibri" w:eastAsia="Times New Roman" w:hAnsi="Calibri"/>
        <w:b/>
        <w:i/>
        <w:color w:val="385623"/>
        <w:sz w:val="16"/>
        <w:szCs w:val="24"/>
        <w:lang w:eastAsia="x-none"/>
      </w:rPr>
      <w:t>SZP/243-</w:t>
    </w:r>
    <w:r w:rsidR="00542A03">
      <w:rPr>
        <w:rFonts w:ascii="Calibri" w:eastAsia="Times New Roman" w:hAnsi="Calibri"/>
        <w:b/>
        <w:i/>
        <w:color w:val="385623"/>
        <w:sz w:val="16"/>
        <w:szCs w:val="24"/>
        <w:lang w:eastAsia="x-none"/>
      </w:rPr>
      <w:t>240</w:t>
    </w:r>
    <w:r w:rsidRPr="008F42BE">
      <w:rPr>
        <w:rFonts w:ascii="Calibri" w:eastAsia="Times New Roman" w:hAnsi="Calibri"/>
        <w:b/>
        <w:i/>
        <w:color w:val="385623"/>
        <w:sz w:val="16"/>
        <w:szCs w:val="24"/>
        <w:lang w:eastAsia="x-none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C7618"/>
    <w:multiLevelType w:val="multilevel"/>
    <w:tmpl w:val="8FB47F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6191EEB"/>
    <w:multiLevelType w:val="multilevel"/>
    <w:tmpl w:val="BB24E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8814C65"/>
    <w:multiLevelType w:val="multilevel"/>
    <w:tmpl w:val="E8EC42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40916B7"/>
    <w:multiLevelType w:val="multilevel"/>
    <w:tmpl w:val="35380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788575D"/>
    <w:multiLevelType w:val="multilevel"/>
    <w:tmpl w:val="8A06AF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87C4676"/>
    <w:multiLevelType w:val="multilevel"/>
    <w:tmpl w:val="9D3EC1BE"/>
    <w:lvl w:ilvl="0">
      <w:start w:val="1"/>
      <w:numFmt w:val="bullet"/>
      <w:lvlText w:val=""/>
      <w:lvlJc w:val="left"/>
      <w:pPr>
        <w:tabs>
          <w:tab w:val="num" w:pos="1446"/>
        </w:tabs>
        <w:ind w:left="144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06"/>
        </w:tabs>
        <w:ind w:left="180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6"/>
        </w:tabs>
        <w:ind w:left="216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86"/>
        </w:tabs>
        <w:ind w:left="288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6"/>
        </w:tabs>
        <w:ind w:left="324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66"/>
        </w:tabs>
        <w:ind w:left="396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6"/>
        </w:tabs>
        <w:ind w:left="4326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29D803CA"/>
    <w:multiLevelType w:val="multilevel"/>
    <w:tmpl w:val="F3B4CF4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673D5FB4"/>
    <w:multiLevelType w:val="multilevel"/>
    <w:tmpl w:val="9F32B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74482D37"/>
    <w:multiLevelType w:val="multilevel"/>
    <w:tmpl w:val="9676C334"/>
    <w:lvl w:ilvl="0">
      <w:start w:val="1"/>
      <w:numFmt w:val="decimal"/>
      <w:pStyle w:val="Wcicie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443" w:hanging="363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8DD"/>
    <w:rsid w:val="001B28AA"/>
    <w:rsid w:val="00325175"/>
    <w:rsid w:val="00542A03"/>
    <w:rsid w:val="0056769A"/>
    <w:rsid w:val="007F3889"/>
    <w:rsid w:val="00882565"/>
    <w:rsid w:val="008B27BF"/>
    <w:rsid w:val="008E0C86"/>
    <w:rsid w:val="008F42BE"/>
    <w:rsid w:val="00B461AB"/>
    <w:rsid w:val="00C2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22096"/>
  <w15:docId w15:val="{C1C7183D-668F-4C11-AC17-D948D8326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40C8"/>
    <w:pPr>
      <w:spacing w:after="200" w:line="276" w:lineRule="auto"/>
    </w:pPr>
    <w:rPr>
      <w:rFonts w:ascii="Arial" w:hAnsi="Arial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20C7"/>
    <w:pPr>
      <w:keepNext/>
      <w:spacing w:before="240" w:after="60"/>
      <w:jc w:val="center"/>
      <w:outlineLvl w:val="0"/>
    </w:pPr>
    <w:rPr>
      <w:rFonts w:eastAsia="Times New Roman"/>
      <w:b/>
      <w:bCs/>
      <w:kern w:val="2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67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B5902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11B1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qFormat/>
    <w:rsid w:val="00771090"/>
    <w:rPr>
      <w:rFonts w:ascii="Times New Roman" w:eastAsia="Times New Roman" w:hAnsi="Times New Roman"/>
    </w:rPr>
  </w:style>
  <w:style w:type="character" w:customStyle="1" w:styleId="Znakiprzypiswdolnychuser">
    <w:name w:val="Znaki przypisów dolnych (user)"/>
    <w:uiPriority w:val="99"/>
    <w:qFormat/>
    <w:rsid w:val="00771090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ytuZnak">
    <w:name w:val="Tytuł Znak"/>
    <w:link w:val="Tytu"/>
    <w:qFormat/>
    <w:rsid w:val="00771090"/>
    <w:rPr>
      <w:rFonts w:ascii="Times New Roman" w:eastAsia="Times New Roman" w:hAnsi="Times New Roman"/>
      <w:b/>
      <w:sz w:val="28"/>
    </w:rPr>
  </w:style>
  <w:style w:type="character" w:customStyle="1" w:styleId="PodtytuZnak">
    <w:name w:val="Podtytuł Znak"/>
    <w:link w:val="Podtytu"/>
    <w:qFormat/>
    <w:rsid w:val="00771090"/>
    <w:rPr>
      <w:rFonts w:ascii="Tahoma" w:eastAsia="Times New Roman" w:hAnsi="Tahoma" w:cs="Tahoma"/>
      <w:b/>
      <w:bCs/>
      <w:sz w:val="22"/>
      <w:szCs w:val="22"/>
    </w:rPr>
  </w:style>
  <w:style w:type="character" w:customStyle="1" w:styleId="TekstpodstawowyZnak">
    <w:name w:val="Tekst podstawowy Znak"/>
    <w:link w:val="Tekstpodstawowy"/>
    <w:qFormat/>
    <w:rsid w:val="00771090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qFormat/>
    <w:rsid w:val="000B6A81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0B6A81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0B6A81"/>
    <w:rPr>
      <w:b/>
      <w:bCs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0B6A81"/>
    <w:rPr>
      <w:rFonts w:ascii="Tahoma" w:hAnsi="Tahoma" w:cs="Tahoma"/>
      <w:sz w:val="16"/>
      <w:szCs w:val="16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B62CCB"/>
    <w:rPr>
      <w:lang w:eastAsia="en-US"/>
    </w:rPr>
  </w:style>
  <w:style w:type="character" w:customStyle="1" w:styleId="Znakiprzypiswkocowychuser">
    <w:name w:val="Znaki przypisów końcowych (user)"/>
    <w:uiPriority w:val="99"/>
    <w:semiHidden/>
    <w:unhideWhenUsed/>
    <w:qFormat/>
    <w:rsid w:val="00B62CCB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Hipercze">
    <w:name w:val="Hyperlink"/>
    <w:uiPriority w:val="99"/>
    <w:rsid w:val="00F27386"/>
    <w:rPr>
      <w:color w:val="0000FF"/>
      <w:u w:val="single"/>
    </w:rPr>
  </w:style>
  <w:style w:type="character" w:customStyle="1" w:styleId="Tekstpodstawowy2Znak">
    <w:name w:val="Tekst podstawowy 2 Znak"/>
    <w:link w:val="Tekstpodstawowy2"/>
    <w:qFormat/>
    <w:rsid w:val="00F27386"/>
    <w:rPr>
      <w:rFonts w:ascii="Times New Roman" w:eastAsia="Times New Roman" w:hAnsi="Times New Roman"/>
      <w:sz w:val="24"/>
      <w:szCs w:val="24"/>
    </w:rPr>
  </w:style>
  <w:style w:type="character" w:customStyle="1" w:styleId="Tekstpodstawowy3Znak">
    <w:name w:val="Tekst podstawowy 3 Znak"/>
    <w:link w:val="Tekstpodstawowy3"/>
    <w:uiPriority w:val="99"/>
    <w:qFormat/>
    <w:rsid w:val="00F95D8F"/>
    <w:rPr>
      <w:rFonts w:ascii="Times New Roman" w:eastAsia="Times New Roman" w:hAnsi="Times New Roman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7E5CCD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7E5CCD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qFormat/>
    <w:rsid w:val="009720C7"/>
    <w:rPr>
      <w:rFonts w:ascii="Arial" w:eastAsia="Times New Roman" w:hAnsi="Arial" w:cs="Arial"/>
      <w:b/>
      <w:bCs/>
      <w:kern w:val="2"/>
      <w:lang w:eastAsia="en-US"/>
    </w:rPr>
  </w:style>
  <w:style w:type="character" w:customStyle="1" w:styleId="Nagwek2Znak">
    <w:name w:val="Nagłówek 2 Znak"/>
    <w:link w:val="Nagwek2"/>
    <w:uiPriority w:val="9"/>
    <w:semiHidden/>
    <w:qFormat/>
    <w:rsid w:val="00C5676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Pogrubienie">
    <w:name w:val="Strong"/>
    <w:uiPriority w:val="22"/>
    <w:qFormat/>
    <w:rsid w:val="00C56763"/>
    <w:rPr>
      <w:b/>
      <w:bCs/>
    </w:rPr>
  </w:style>
  <w:style w:type="character" w:customStyle="1" w:styleId="Nagwek6Znak">
    <w:name w:val="Nagłówek 6 Znak"/>
    <w:link w:val="Nagwek6"/>
    <w:uiPriority w:val="9"/>
    <w:semiHidden/>
    <w:qFormat/>
    <w:rsid w:val="00FA11B1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uiPriority w:val="99"/>
    <w:semiHidden/>
    <w:qFormat/>
    <w:rsid w:val="0081778A"/>
    <w:rPr>
      <w:rFonts w:ascii="Arial" w:hAnsi="Arial"/>
      <w:szCs w:val="22"/>
      <w:lang w:eastAsia="en-US"/>
    </w:rPr>
  </w:style>
  <w:style w:type="character" w:customStyle="1" w:styleId="highlight">
    <w:name w:val="highlight"/>
    <w:qFormat/>
    <w:rsid w:val="001839E2"/>
  </w:style>
  <w:style w:type="character" w:customStyle="1" w:styleId="Nagwek3Znak">
    <w:name w:val="Nagłówek 3 Znak"/>
    <w:link w:val="Nagwek3"/>
    <w:uiPriority w:val="9"/>
    <w:qFormat/>
    <w:rsid w:val="005B5902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UyteHipercze">
    <w:name w:val="FollowedHyperlink"/>
    <w:uiPriority w:val="99"/>
    <w:semiHidden/>
    <w:unhideWhenUsed/>
    <w:rsid w:val="00152C8A"/>
    <w:rPr>
      <w:color w:val="954F72"/>
      <w:u w:val="single"/>
    </w:rPr>
  </w:style>
  <w:style w:type="character" w:customStyle="1" w:styleId="TekstkomentarzaZnak1">
    <w:name w:val="Tekst komentarza Znak1"/>
    <w:uiPriority w:val="99"/>
    <w:semiHidden/>
    <w:qFormat/>
    <w:rsid w:val="00EE533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EA1807"/>
    <w:rPr>
      <w:color w:val="605E5C"/>
      <w:shd w:val="clear" w:color="auto" w:fill="E1DFDD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Znakinumeracjiuser">
    <w:name w:val="Znaki numeracji (user)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E5CCD"/>
    <w:pPr>
      <w:tabs>
        <w:tab w:val="center" w:pos="4536"/>
        <w:tab w:val="right" w:pos="9072"/>
      </w:tabs>
    </w:pPr>
    <w:rPr>
      <w:rFonts w:ascii="Calibri" w:hAnsi="Calibri"/>
      <w:sz w:val="22"/>
      <w:lang w:val="x-none"/>
    </w:rPr>
  </w:style>
  <w:style w:type="paragraph" w:styleId="Tekstpodstawowy">
    <w:name w:val="Body Text"/>
    <w:basedOn w:val="Normalny"/>
    <w:link w:val="TekstpodstawowyZnak"/>
    <w:rsid w:val="00771090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Noto Sans Devanagari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Noto Sans Devanagari"/>
    </w:rPr>
  </w:style>
  <w:style w:type="paragraph" w:styleId="Tekstprzypisudolnego">
    <w:name w:val="footnote text"/>
    <w:basedOn w:val="Normalny"/>
    <w:link w:val="TekstprzypisudolnegoZnak"/>
    <w:uiPriority w:val="99"/>
    <w:rsid w:val="00771090"/>
    <w:pPr>
      <w:spacing w:after="0" w:line="240" w:lineRule="auto"/>
    </w:pPr>
    <w:rPr>
      <w:rFonts w:ascii="Times New Roman" w:eastAsia="Times New Roman" w:hAnsi="Times New Roman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7109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771090"/>
    <w:pPr>
      <w:tabs>
        <w:tab w:val="left" w:pos="1080"/>
      </w:tabs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sz w:val="22"/>
      <w:lang w:val="x-none" w:eastAsia="x-none"/>
    </w:rPr>
  </w:style>
  <w:style w:type="paragraph" w:customStyle="1" w:styleId="xl33">
    <w:name w:val="xl33"/>
    <w:basedOn w:val="Normalny"/>
    <w:qFormat/>
    <w:rsid w:val="00771090"/>
    <w:pPr>
      <w:spacing w:before="100" w:after="100" w:line="240" w:lineRule="auto"/>
      <w:jc w:val="center"/>
    </w:pPr>
    <w:rPr>
      <w:rFonts w:ascii="Times New Roman" w:eastAsia="Times New Roman" w:hAnsi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0B6A81"/>
    <w:rPr>
      <w:rFonts w:ascii="Calibri" w:hAnsi="Calibri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B6A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B6A8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Akapitzlist">
    <w:name w:val="List Paragraph"/>
    <w:basedOn w:val="Normalny"/>
    <w:uiPriority w:val="34"/>
    <w:qFormat/>
    <w:rsid w:val="005C0F8B"/>
    <w:pPr>
      <w:ind w:left="720"/>
      <w:contextualSpacing/>
    </w:pPr>
    <w:rPr>
      <w:rFonts w:ascii="Calibri" w:hAnsi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2CCB"/>
    <w:rPr>
      <w:rFonts w:ascii="Calibri" w:hAnsi="Calibri"/>
      <w:szCs w:val="20"/>
      <w:lang w:val="x-none"/>
    </w:rPr>
  </w:style>
  <w:style w:type="paragraph" w:styleId="Tekstpodstawowy2">
    <w:name w:val="Body Text 2"/>
    <w:basedOn w:val="Normalny"/>
    <w:link w:val="Tekstpodstawowy2Znak"/>
    <w:qFormat/>
    <w:rsid w:val="00F2738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">
    <w:name w:val="Default"/>
    <w:qFormat/>
    <w:rsid w:val="00963BE7"/>
    <w:rPr>
      <w:rFonts w:ascii="Times New Roman" w:hAnsi="Times New Roman"/>
      <w:color w:val="000000"/>
      <w:sz w:val="24"/>
      <w:szCs w:val="24"/>
    </w:rPr>
  </w:style>
  <w:style w:type="paragraph" w:styleId="Spistreci2">
    <w:name w:val="toc 2"/>
    <w:basedOn w:val="Normalny"/>
    <w:next w:val="Normalny"/>
    <w:autoRedefine/>
    <w:rsid w:val="00F41E2B"/>
    <w:pPr>
      <w:tabs>
        <w:tab w:val="left" w:pos="540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F95D8F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qFormat/>
    <w:rsid w:val="009B7E8C"/>
    <w:pPr>
      <w:ind w:left="720"/>
    </w:pPr>
    <w:rPr>
      <w:rFonts w:eastAsia="Times New Roman" w:cs="Calibri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E5CCD"/>
    <w:pPr>
      <w:tabs>
        <w:tab w:val="center" w:pos="4536"/>
        <w:tab w:val="right" w:pos="9072"/>
      </w:tabs>
    </w:pPr>
    <w:rPr>
      <w:rFonts w:ascii="Calibri" w:hAnsi="Calibri"/>
      <w:sz w:val="22"/>
      <w:lang w:val="x-none"/>
    </w:rPr>
  </w:style>
  <w:style w:type="paragraph" w:customStyle="1" w:styleId="ZnakZnak">
    <w:name w:val="Znak Znak"/>
    <w:basedOn w:val="Normalny"/>
    <w:qFormat/>
    <w:rsid w:val="00C56763"/>
    <w:pPr>
      <w:spacing w:after="0" w:line="360" w:lineRule="auto"/>
      <w:jc w:val="both"/>
    </w:pPr>
    <w:rPr>
      <w:rFonts w:ascii="Verdana" w:eastAsia="Times New Roman" w:hAnsi="Verdana"/>
      <w:szCs w:val="20"/>
      <w:lang w:eastAsia="pl-PL"/>
    </w:rPr>
  </w:style>
  <w:style w:type="paragraph" w:styleId="Poprawka">
    <w:name w:val="Revision"/>
    <w:uiPriority w:val="99"/>
    <w:semiHidden/>
    <w:qFormat/>
    <w:rsid w:val="00EE44DD"/>
    <w:rPr>
      <w:rFonts w:ascii="Arial" w:hAnsi="Arial"/>
      <w:szCs w:val="22"/>
      <w:lang w:eastAsia="en-US"/>
    </w:rPr>
  </w:style>
  <w:style w:type="paragraph" w:customStyle="1" w:styleId="Akapit">
    <w:name w:val="Akapit"/>
    <w:basedOn w:val="Nagwek6"/>
    <w:qFormat/>
    <w:rsid w:val="00FA11B1"/>
    <w:pPr>
      <w:keepNext/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szCs w:val="24"/>
      <w:lang w:eastAsia="pl-PL"/>
    </w:rPr>
  </w:style>
  <w:style w:type="paragraph" w:customStyle="1" w:styleId="Wcicie">
    <w:name w:val="Wcięcie"/>
    <w:basedOn w:val="Normalny"/>
    <w:qFormat/>
    <w:rsid w:val="00E37D3D"/>
    <w:pPr>
      <w:numPr>
        <w:numId w:val="1"/>
      </w:numPr>
      <w:spacing w:after="0" w:line="360" w:lineRule="auto"/>
      <w:jc w:val="both"/>
    </w:pPr>
    <w:rPr>
      <w:rFonts w:eastAsia="Times New Roman" w:cs="Arial"/>
      <w:sz w:val="22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81778A"/>
    <w:pPr>
      <w:spacing w:after="120" w:line="480" w:lineRule="auto"/>
      <w:ind w:left="283"/>
    </w:pPr>
    <w:rPr>
      <w:lang w:val="x-none"/>
    </w:rPr>
  </w:style>
  <w:style w:type="paragraph" w:customStyle="1" w:styleId="standardpunkt">
    <w:name w:val="standard_punkt"/>
    <w:basedOn w:val="Normalny"/>
    <w:uiPriority w:val="99"/>
    <w:qFormat/>
    <w:rsid w:val="00417018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1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9E77E-1502-4EAD-9AB0-B2F282C4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977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Ciszek</dc:creator>
  <dc:description/>
  <cp:lastModifiedBy>Mateusz Synówka</cp:lastModifiedBy>
  <cp:revision>3</cp:revision>
  <cp:lastPrinted>2022-07-29T06:43:00Z</cp:lastPrinted>
  <dcterms:created xsi:type="dcterms:W3CDTF">2026-07-27T08:02:00Z</dcterms:created>
  <dcterms:modified xsi:type="dcterms:W3CDTF">2026-07-27T08:03:00Z</dcterms:modified>
  <dc:language>pl-PL</dc:language>
</cp:coreProperties>
</file>